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BE0F24">
      <w:pPr>
        <w:pStyle w:val="papertitle"/>
      </w:pPr>
      <w: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-508197</wp:posOffset>
                </wp:positionV>
                <wp:extent cx="6632681" cy="384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681"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F24" w:rsidRPr="0092795A" w:rsidRDefault="00BE0F24" w:rsidP="00BE0F24">
                            <w:pPr>
                              <w:jc w:val="left"/>
                              <w:rPr>
                                <w:i/>
                                <w:iCs/>
                              </w:rPr>
                            </w:pPr>
                            <w:r w:rsidRPr="0092795A">
                              <w:rPr>
                                <w:i/>
                                <w:iCs/>
                              </w:rPr>
                              <w:t>Proceedings of the 201</w:t>
                            </w:r>
                            <w:r>
                              <w:rPr>
                                <w:i/>
                                <w:iCs/>
                              </w:rPr>
                              <w:t>5</w:t>
                            </w:r>
                            <w:r w:rsidRPr="0092795A">
                              <w:rPr>
                                <w:i/>
                                <w:iCs/>
                              </w:rPr>
                              <w:t xml:space="preserve"> International Conference on Industrial Engineering and Operations Management</w:t>
                            </w:r>
                          </w:p>
                          <w:p w:rsidR="00BE0F24" w:rsidRPr="0092795A" w:rsidRDefault="00BE0F24" w:rsidP="00BE0F24">
                            <w:pPr>
                              <w:jc w:val="left"/>
                              <w:rPr>
                                <w:i/>
                                <w:iCs/>
                              </w:rPr>
                            </w:pPr>
                            <w:r>
                              <w:rPr>
                                <w:i/>
                                <w:iCs/>
                              </w:rPr>
                              <w:t>Dubai, U</w:t>
                            </w:r>
                            <w:r w:rsidR="009A455C">
                              <w:rPr>
                                <w:i/>
                                <w:iCs/>
                              </w:rPr>
                              <w:t>nited Arab Emirates (U</w:t>
                            </w:r>
                            <w:r>
                              <w:rPr>
                                <w:i/>
                                <w:iCs/>
                              </w:rPr>
                              <w:t>AE</w:t>
                            </w:r>
                            <w:r w:rsidR="009A455C">
                              <w:rPr>
                                <w:i/>
                                <w:iCs/>
                              </w:rPr>
                              <w:t>)</w:t>
                            </w:r>
                            <w:r>
                              <w:rPr>
                                <w:i/>
                                <w:iCs/>
                              </w:rPr>
                              <w:t>, March 3 – 5,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1.05pt;margin-top:-40pt;width:522.25pt;height:30.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lK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" stroked="f">
                <v:textbox>
                  <w:txbxContent>
                    <w:p w:rsidR="00BE0F24" w:rsidRPr="0092795A" w:rsidRDefault="00BE0F24" w:rsidP="00BE0F24">
                      <w:pPr>
                        <w:jc w:val="left"/>
                        <w:rPr>
                          <w:i/>
                          <w:iCs/>
                        </w:rPr>
                      </w:pPr>
                      <w:r w:rsidRPr="0092795A">
                        <w:rPr>
                          <w:i/>
                          <w:iCs/>
                        </w:rPr>
                        <w:t>Proceedings of the 201</w:t>
                      </w:r>
                      <w:r>
                        <w:rPr>
                          <w:i/>
                          <w:iCs/>
                        </w:rPr>
                        <w:t>5</w:t>
                      </w:r>
                      <w:r w:rsidRPr="0092795A">
                        <w:rPr>
                          <w:i/>
                          <w:iCs/>
                        </w:rPr>
                        <w:t xml:space="preserve"> International Conference on Industrial Engineering and Operations Management</w:t>
                      </w:r>
                    </w:p>
                    <w:p w:rsidR="00BE0F24" w:rsidRPr="0092795A" w:rsidRDefault="00BE0F24" w:rsidP="00BE0F24">
                      <w:pPr>
                        <w:jc w:val="left"/>
                        <w:rPr>
                          <w:i/>
                          <w:iCs/>
                        </w:rPr>
                      </w:pPr>
                      <w:r>
                        <w:rPr>
                          <w:i/>
                          <w:iCs/>
                        </w:rPr>
                        <w:t>Dubai, U</w:t>
                      </w:r>
                      <w:r w:rsidR="009A455C">
                        <w:rPr>
                          <w:i/>
                          <w:iCs/>
                        </w:rPr>
                        <w:t>nited Arab Emirates (U</w:t>
                      </w:r>
                      <w:r>
                        <w:rPr>
                          <w:i/>
                          <w:iCs/>
                        </w:rPr>
                        <w:t>AE</w:t>
                      </w:r>
                      <w:r w:rsidR="009A455C">
                        <w:rPr>
                          <w:i/>
                          <w:iCs/>
                        </w:rPr>
                        <w:t>)</w:t>
                      </w:r>
                      <w:r>
                        <w:rPr>
                          <w:i/>
                          <w:iCs/>
                        </w:rPr>
                        <w:t>, March 3 – 5, 2015</w:t>
                      </w:r>
                    </w:p>
                  </w:txbxContent>
                </v:textbox>
                <w10:wrap anchorx="margin"/>
              </v:shape>
            </w:pict>
          </mc:Fallback>
        </mc:AlternateContent>
      </w:r>
      <w:r w:rsidR="009303D9">
        <w:t>Paper Title</w:t>
      </w:r>
      <w:r w:rsidR="00E7596C">
        <w:t>*</w:t>
      </w:r>
      <w:r w:rsidR="009303D9">
        <w:t xml:space="preserve"> (use style: </w:t>
      </w:r>
      <w:r w:rsidR="009303D9">
        <w:rPr>
          <w:i/>
          <w:iCs/>
        </w:rPr>
        <w:t>paper title</w:t>
      </w:r>
      <w:r w:rsidR="009303D9">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pPr>
      <w:proofErr w:type="gramStart"/>
      <w:r w:rsidRPr="005B520E">
        <w:t>line</w:t>
      </w:r>
      <w:proofErr w:type="gramEnd"/>
      <w:r w:rsidRPr="005B520E">
        <w:t xml:space="preserve"> 4: e-mail address if desired</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lastRenderedPageBreak/>
        <w:t xml:space="preserve">Prepare Your Paper </w:t>
      </w:r>
      <w:r w:rsidRPr="005B520E">
        <w:t>Before</w:t>
      </w:r>
      <w:r>
        <w:t xml:space="preserve"> Styling</w:t>
      </w:r>
    </w:p>
    <w:p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w:t>
      </w:r>
      <w:r w:rsidRPr="005B520E">
        <w:lastRenderedPageBreak/>
        <w:t>To create multileveled equations, it may be necessary to treat the equation as a graphic and insert it into the text after your paper is styled.</w:t>
      </w:r>
    </w:p>
    <w:p w:rsidR="009303D9"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lastRenderedPageBreak/>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 xml:space="preserve">Deletion: </w:t>
      </w:r>
      <w:r w:rsidRPr="00FA4C32">
        <w:rPr>
          <w:i w:val="0"/>
        </w:rPr>
        <w:t>Delete the author and affiliation lines for the second affiliation.</w:t>
      </w:r>
    </w:p>
    <w:p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rsidR="009303D9" w:rsidRPr="005B520E" w:rsidRDefault="009303D9" w:rsidP="00794804">
      <w:pPr>
        <w:pStyle w:val="Heading4"/>
      </w:pPr>
      <w:r w:rsidRPr="005B520E">
        <w:t xml:space="preserve">Selection: </w:t>
      </w:r>
      <w:r w:rsidRPr="00FA4C32">
        <w:rPr>
          <w:i w:val="0"/>
        </w:rPr>
        <w:t>Highlight all author and affiliation lines.</w:t>
      </w:r>
    </w:p>
    <w:p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Highlight author and affiliation lines of affiliation 1 and copy this selection.</w:t>
      </w:r>
    </w:p>
    <w:p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w:t>
      </w:r>
      <w:r w:rsidRPr="005B520E">
        <w:lastRenderedPageBreak/>
        <w:t>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80791D" w:rsidRDefault="0080791D" w:rsidP="00E7596C">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575BCA" w:rsidRDefault="00575BCA" w:rsidP="00575BCA"/>
    <w:p w:rsidR="009303D9" w:rsidRDefault="009303D9" w:rsidP="00A059B3">
      <w:pPr>
        <w:pStyle w:val="Heading5"/>
      </w:pPr>
      <w:r w:rsidRPr="005B520E">
        <w:t>References</w:t>
      </w:r>
    </w:p>
    <w:p w:rsidR="009303D9" w:rsidRPr="005B520E" w:rsidRDefault="009303D9" w:rsidP="00E7596C">
      <w:pPr>
        <w:pStyle w:val="BodyText"/>
      </w:pPr>
      <w:r w:rsidRPr="005B520E">
        <w:lastRenderedPageBreak/>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0A614F" w:rsidP="0004781E">
      <w:pPr>
        <w:pStyle w:val="references"/>
        <w:ind w:left="354" w:hanging="354"/>
      </w:pPr>
      <w:r>
        <mc:AlternateContent>
          <mc:Choice Requires="wps">
            <w:drawing>
              <wp:anchor distT="0" distB="0" distL="114300" distR="114300" simplePos="0" relativeHeight="251657728" behindDoc="1" locked="0" layoutInCell="1" allowOverlap="1">
                <wp:simplePos x="0" y="0"/>
                <wp:positionH relativeFrom="column">
                  <wp:posOffset>-3418205</wp:posOffset>
                </wp:positionH>
                <wp:positionV relativeFrom="paragraph">
                  <wp:posOffset>2143125</wp:posOffset>
                </wp:positionV>
                <wp:extent cx="3200400" cy="1143000"/>
                <wp:effectExtent l="10795" t="8255" r="8255" b="10795"/>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9.15pt;margin-top:168.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BE0F24">
      <w:pPr>
        <w:pStyle w:val="references"/>
        <w:numPr>
          <w:ilvl w:val="0"/>
          <w:numId w:val="0"/>
        </w:numPr>
        <w:ind w:left="360" w:hanging="360"/>
      </w:pPr>
    </w:p>
    <w:p w:rsidR="00BE0F24" w:rsidRDefault="00BE0F24" w:rsidP="00BE0F24">
      <w:pPr>
        <w:pStyle w:val="Heading5"/>
      </w:pPr>
      <w:r>
        <w:t>Biography</w:t>
      </w:r>
    </w:p>
    <w:p w:rsidR="00BE0F24" w:rsidRDefault="00BE0F24" w:rsidP="00BE0F24">
      <w:pPr>
        <w:pStyle w:val="references"/>
        <w:numPr>
          <w:ilvl w:val="0"/>
          <w:numId w:val="0"/>
        </w:numPr>
        <w:ind w:left="360"/>
      </w:pPr>
      <w:r>
        <w:t>Include author bio(s) of 150 words or less.</w:t>
      </w:r>
    </w:p>
    <w:p w:rsidR="00BE0F24" w:rsidRDefault="00BE0F24" w:rsidP="00BE0F24">
      <w:pPr>
        <w:pStyle w:val="references"/>
        <w:numPr>
          <w:ilvl w:val="0"/>
          <w:numId w:val="0"/>
        </w:numPr>
        <w:ind w:left="360"/>
      </w:pPr>
    </w:p>
    <w:p w:rsidR="00A206E8" w:rsidRDefault="00A206E8" w:rsidP="00A206E8">
      <w:pPr>
        <w:pStyle w:val="references"/>
        <w:numPr>
          <w:ilvl w:val="0"/>
          <w:numId w:val="0"/>
        </w:numPr>
        <w:tabs>
          <w:tab w:val="left" w:pos="720"/>
        </w:tabs>
        <w:ind w:left="36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done research projec</w:t>
      </w:r>
      <w:bookmarkStart w:id="0" w:name="_GoBack"/>
      <w:bookmarkEnd w:id="0"/>
      <w:r>
        <w:t>ts with Chrysler, Ford, DTE Energy, Delphi Automotive System, GE Medical Systems, Harley-Davidson Motor Company, International Truck and Engine Corporation (ITEC), National/Panasonic Electronics, and Rockwell Automation. His research interests include manufacturing, simulation, optimization, reliability, scheduling, manufacturing, and lean. He is a member of ASEE, IEEE, IEOM, IIE, INFORMS, and SME.</w:t>
      </w:r>
    </w:p>
    <w:p w:rsidR="00A206E8" w:rsidRDefault="00A206E8" w:rsidP="00A206E8">
      <w:pPr>
        <w:pStyle w:val="references"/>
        <w:numPr>
          <w:ilvl w:val="0"/>
          <w:numId w:val="0"/>
        </w:numPr>
        <w:tabs>
          <w:tab w:val="left" w:pos="720"/>
        </w:tabs>
        <w:ind w:left="360"/>
      </w:pPr>
    </w:p>
    <w:p w:rsidR="00A206E8" w:rsidRDefault="00A206E8" w:rsidP="00A206E8">
      <w:pPr>
        <w:pStyle w:val="references"/>
        <w:numPr>
          <w:ilvl w:val="0"/>
          <w:numId w:val="0"/>
        </w:numPr>
        <w:tabs>
          <w:tab w:val="left" w:pos="720"/>
        </w:tabs>
        <w:ind w:left="360"/>
      </w:pPr>
      <w:r>
        <w:rPr>
          <w:b/>
        </w:rPr>
        <w:t>Donald M. Reimer</w:t>
      </w:r>
      <w:r>
        <w:t xml:space="preserve"> is currently a fulltime senior lecturer and Director of The Lear Entrepreneurial Program in College of Engineering at Lawrence Tech.  Mr. Reimer holds a Bachelor of Science degree in Industrial Management from Lawrence Technological University and a Master of </w:t>
      </w:r>
      <w:r>
        <w:lastRenderedPageBreak/>
        <w:t>Arts degree in Political Science from University of Detroit/Mercy. He is a Certified Management Consultant with over 35 years of experience in working with closely-held businesses. He has taught courses in entrepreneurship, management and corporate entrepreneurship and innovation for engineers. Mr. Reimer served as member of the Minority Economic Development Committee of New Detroit. Mr. Reimer serves as a KEEN Fellow for The Kern Family Foundation and is a member of United States Association of Small Business and Entrepreneurship. He is a member of ASEE and IEOM.</w:t>
      </w:r>
    </w:p>
    <w:p w:rsidR="00BE0F24" w:rsidRDefault="00BE0F24" w:rsidP="00BE0F24">
      <w:pPr>
        <w:pStyle w:val="references"/>
        <w:numPr>
          <w:ilvl w:val="0"/>
          <w:numId w:val="0"/>
        </w:numPr>
        <w:ind w:left="360"/>
      </w:pPr>
    </w:p>
    <w:p w:rsidR="00BE0F24" w:rsidRDefault="00BE0F24" w:rsidP="00A10800">
      <w:pPr>
        <w:pStyle w:val="references"/>
        <w:numPr>
          <w:ilvl w:val="0"/>
          <w:numId w:val="0"/>
        </w:numPr>
      </w:pPr>
      <w:r>
        <w:t xml:space="preserve">If you have comments or questions about this abstract formatting guidelines or IEOM 2015, please contact the IEOM Conference Chair – Ahad Ali (aali@ltu.edu).  </w:t>
      </w:r>
    </w:p>
    <w:p w:rsidR="00BE0F24" w:rsidRDefault="00BE0F24" w:rsidP="00A10800">
      <w:pPr>
        <w:pStyle w:val="references"/>
        <w:numPr>
          <w:ilvl w:val="0"/>
          <w:numId w:val="0"/>
        </w:numPr>
      </w:pPr>
    </w:p>
    <w:p w:rsidR="00BE0F24" w:rsidRDefault="00BE0F24" w:rsidP="00BE0F24">
      <w:pPr>
        <w:pStyle w:val="references"/>
        <w:numPr>
          <w:ilvl w:val="0"/>
          <w:numId w:val="0"/>
        </w:numPr>
        <w:ind w:left="360" w:hanging="360"/>
        <w:sectPr w:rsidR="00BE0F24" w:rsidSect="00C919A4">
          <w:type w:val="continuous"/>
          <w:pgSz w:w="12240" w:h="15840" w:code="1"/>
          <w:pgMar w:top="1080" w:right="907" w:bottom="1440" w:left="907" w:header="720" w:footer="720" w:gutter="0"/>
          <w:cols w:num="2" w:space="360"/>
          <w:docGrid w:linePitch="360"/>
        </w:sectPr>
      </w:pPr>
      <w:r>
        <w:t>Thank you!</w:t>
      </w: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A614F"/>
    <w:rsid w:val="000C1E68"/>
    <w:rsid w:val="001A2EFD"/>
    <w:rsid w:val="001B67DC"/>
    <w:rsid w:val="002254A9"/>
    <w:rsid w:val="003A19E2"/>
    <w:rsid w:val="004D72B5"/>
    <w:rsid w:val="00551B7F"/>
    <w:rsid w:val="00575BCA"/>
    <w:rsid w:val="005B0344"/>
    <w:rsid w:val="005B520E"/>
    <w:rsid w:val="005E2800"/>
    <w:rsid w:val="00651A08"/>
    <w:rsid w:val="00670434"/>
    <w:rsid w:val="006B6B66"/>
    <w:rsid w:val="00740EEA"/>
    <w:rsid w:val="00794804"/>
    <w:rsid w:val="007B33F1"/>
    <w:rsid w:val="007C0308"/>
    <w:rsid w:val="007C2FF2"/>
    <w:rsid w:val="007F1F99"/>
    <w:rsid w:val="007F768F"/>
    <w:rsid w:val="0080791D"/>
    <w:rsid w:val="00873603"/>
    <w:rsid w:val="0087537E"/>
    <w:rsid w:val="008A2C7D"/>
    <w:rsid w:val="008C4B23"/>
    <w:rsid w:val="009303D9"/>
    <w:rsid w:val="00933C64"/>
    <w:rsid w:val="00972203"/>
    <w:rsid w:val="009A455C"/>
    <w:rsid w:val="00A059B3"/>
    <w:rsid w:val="00A10800"/>
    <w:rsid w:val="00A206E8"/>
    <w:rsid w:val="00AE3409"/>
    <w:rsid w:val="00B11A60"/>
    <w:rsid w:val="00B22613"/>
    <w:rsid w:val="00BA1025"/>
    <w:rsid w:val="00BC3420"/>
    <w:rsid w:val="00BE0F24"/>
    <w:rsid w:val="00BE7D3C"/>
    <w:rsid w:val="00BF5FF6"/>
    <w:rsid w:val="00C0207F"/>
    <w:rsid w:val="00C16117"/>
    <w:rsid w:val="00C919A4"/>
    <w:rsid w:val="00CC393F"/>
    <w:rsid w:val="00D632BE"/>
    <w:rsid w:val="00D7536F"/>
    <w:rsid w:val="00E61E12"/>
    <w:rsid w:val="00E7596C"/>
    <w:rsid w:val="00E878F2"/>
    <w:rsid w:val="00ED0149"/>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C9A5A-2E6A-43A7-AA0B-DCE695E4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1BD2-FDC7-4A01-99F0-59572DAA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Ahad Ali</cp:lastModifiedBy>
  <cp:revision>9</cp:revision>
  <dcterms:created xsi:type="dcterms:W3CDTF">2014-09-18T05:56:00Z</dcterms:created>
  <dcterms:modified xsi:type="dcterms:W3CDTF">2014-09-26T19:53:00Z</dcterms:modified>
</cp:coreProperties>
</file>